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SANDRA LORENA BERMÚDEZ</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Jefe de Oficina Centro de Administración Local Integrada – C.A.L.I</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color w:val="auto"/>
          <w:kern w:val="2"/>
          <w:sz w:val="24"/>
          <w:szCs w:val="24"/>
          <w:lang w:val="es-CO" w:eastAsia="ar-SA" w:bidi="ar-SA"/>
        </w:rPr>
        <w:t>Calle 44 con carrera 24C-01 Fenalco- Kennedy</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color w:val="auto"/>
          <w:kern w:val="2"/>
          <w:sz w:val="24"/>
          <w:szCs w:val="24"/>
          <w:lang w:val="es-CO" w:eastAsia="ar-SA" w:bidi="ar-SA"/>
        </w:rPr>
        <w:t>cali12@cali.gov.co</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a_ petición </w:t>
      </w:r>
      <w:r>
        <w:rPr>
          <w:rFonts w:cs="Arial" w:ascii="Arial" w:hAnsi="Arial"/>
        </w:rPr>
        <w:t xml:space="preserve">realizada por la comunidad.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No.202441734120000534,</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se realizó fumigación con máquina pesada en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12</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febrero, abril, junio, julio, agosto y diciembre del 2024, donde se intervinieron 1.224</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56.100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Se realizó también fumigación intradomiciliar de viviendas, con motomochila, la cual es una actividad focalizada para casos de dengue grave y muerte probable por dengue, a la fecha se fumigaron 172 viviendas, en meses de junio, septiembre, octubre y diciembre del 2024 en los barrios el Paraiso, La Nueva floresta, Doce de Octubre y Villanueva de la comuna 12, respectivamente.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98" w:type="dxa"/>
        <w:tblLayout w:type="fixed"/>
        <w:tblCellMar>
          <w:top w:w="28" w:type="dxa"/>
          <w:left w:w="98" w:type="dxa"/>
          <w:bottom w:w="28" w:type="dxa"/>
          <w:right w:w="108" w:type="dxa"/>
        </w:tblCellMar>
      </w:tblPr>
      <w:tblGrid>
        <w:gridCol w:w="2999"/>
        <w:gridCol w:w="2505"/>
        <w:gridCol w:w="1861"/>
        <w:gridCol w:w="1994"/>
      </w:tblGrid>
      <w:tr>
        <w:trPr>
          <w:tblHeader w:val="true"/>
          <w:trHeight w:val="659" w:hRule="atLeast"/>
        </w:trPr>
        <w:tc>
          <w:tcPr>
            <w:tcW w:w="2999"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9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33F - TV 29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39 - 33F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TV 29 KR 27 - DG 28C</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KR 23 – 26</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70 - 44 ó DG 30 KR 26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CL 44 KR 28D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44 - 39 KR 23 – 27</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DG 28C TV 28D - 29</w:t>
            </w:r>
          </w:p>
        </w:tc>
        <w:tc>
          <w:tcPr>
            <w:tcW w:w="25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Alfonso Barberena - Santa Mónica Popular, Rodeo, Bello Horizonte – Paraiso, La Nueva Floresta - Fenalco Kenedy, Nueva Floresta, Sindical, Asturias, Julio Rincón - 12 De Octubre - Eduardo Santos.</w:t>
            </w:r>
          </w:p>
        </w:tc>
        <w:tc>
          <w:tcPr>
            <w:tcW w:w="1861"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widowControl w:val="false"/>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21841</w:t>
            </w:r>
          </w:p>
        </w:tc>
        <w:tc>
          <w:tcPr>
            <w:tcW w:w="199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color w:val="000000"/>
                <w:kern w:val="2"/>
                <w:sz w:val="20"/>
                <w:szCs w:val="20"/>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32019</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A su vez se realiza intervención en los lugares de concentración humana puesto que albergan alta densidad poblacional (permanente o en tránsito) y, por lo tanto, presentan una mayor probabilidad de transmisión de las ETV. A la fecha se han realizado 158 visitas de control larvario a Centros Comerciales, Centros Docentes o Educativos, Centros De Recreación, Entidades De Gobierno, Escuelas Saludables, Estaciones De Policía, Estaciones De Servicio, Guarderías, Hogares De Bienestar Familiar, Hogares Geriátricos, Hoteles, Instituciones De Salud, Instituciones Religiosas, Jardines Infantiles,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12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en 6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Hogares De Bienestar Familiar (1), Instituciones Religiosas (4), y Otras Instituciones (1).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la comuna 12,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6,31% de las viviendas visitadas se encontraron positivas</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es decir, casi 6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 lo que se refiere a la fumigación en la Institución Técnica Comercial Hernando Navia Varon, se realizo fumigación durante el último trimestre del 2024, con 8 controles en este periodo, por parte de la Empresa TECNISEC de Colombia Ltda., como parte del Plan de Contingencia de Dengue establecido por la Secretaría de Salud Distrital debido a la epidemia en la ciudad.</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de fondo a su solicitud, no obstante, estaremos atentos en caso de requerir información adicional.</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Fonts w:cs="Arial" w:ascii="Arial" w:hAnsi="Arial"/>
          <w:color w:val="000000"/>
          <w:sz w:val="16"/>
          <w:szCs w:val="16"/>
          <w:shd w:fill="FFFFFF" w:val="clear"/>
          <w:lang w:val="es-ES"/>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column">
            <wp:posOffset>-100965</wp:posOffset>
          </wp:positionH>
          <wp:positionV relativeFrom="paragraph">
            <wp:posOffset>81280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1">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Application>LibreOffice/7.0.3.1$Windows_X86_64 LibreOffice_project/d7547858d014d4cf69878db179d326fc3483e082</Application>
  <Pages>3</Pages>
  <Words>1156</Words>
  <Characters>6258</Characters>
  <CharactersWithSpaces>7411</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2025-01-31T18:14:21Z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